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58" w:rsidRPr="00242861" w:rsidRDefault="002F6658" w:rsidP="002F6658">
      <w:pPr>
        <w:jc w:val="both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b/>
          <w:color w:val="17365D" w:themeColor="text2" w:themeShade="BF"/>
        </w:rPr>
        <w:t>Attribuzione dei crediti</w:t>
      </w:r>
    </w:p>
    <w:p w:rsidR="002F6658" w:rsidRPr="00242861" w:rsidRDefault="002F6658" w:rsidP="002F6658">
      <w:pPr>
        <w:spacing w:before="100" w:after="100"/>
        <w:jc w:val="both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</w:rPr>
        <w:t>Ferme restando le attuali norme vigenti per l’attribuzione del credito scolastico e i relativi punteggi il collegio del 11 Giugno 2010 ha così deliberato:</w:t>
      </w:r>
    </w:p>
    <w:p w:rsidR="002F6658" w:rsidRPr="00242861" w:rsidRDefault="002F6658" w:rsidP="002F6658">
      <w:pPr>
        <w:spacing w:before="100" w:after="100"/>
        <w:jc w:val="both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</w:rPr>
        <w:t xml:space="preserve">negli ultimi tre anni della scuola secondaria superiore i Consigli di classe devono assegnare a ciascuno studente un punteggio che, al termine del triennio, viene sommato e forma il punteggio di ammissione all’Esame di Stato. Questo punteggio di ammissione, </w:t>
      </w:r>
      <w:r w:rsidRPr="00242861">
        <w:rPr>
          <w:rFonts w:ascii="Verdana" w:hAnsi="Verdana" w:cs="Verdana"/>
          <w:b/>
          <w:color w:val="17365D" w:themeColor="text2" w:themeShade="BF"/>
        </w:rPr>
        <w:t>sommato</w:t>
      </w:r>
      <w:r w:rsidRPr="00242861">
        <w:rPr>
          <w:rFonts w:ascii="Verdana" w:hAnsi="Verdana" w:cs="Verdana"/>
          <w:color w:val="17365D" w:themeColor="text2" w:themeShade="BF"/>
        </w:rPr>
        <w:t xml:space="preserve"> al punteggio conseguito nelle quattro prove d’esame, forma il </w:t>
      </w:r>
      <w:r w:rsidRPr="00242861">
        <w:rPr>
          <w:rFonts w:ascii="Verdana" w:hAnsi="Verdana" w:cs="Verdana"/>
          <w:b/>
          <w:color w:val="17365D" w:themeColor="text2" w:themeShade="BF"/>
        </w:rPr>
        <w:t>voto finale</w:t>
      </w:r>
      <w:r w:rsidRPr="00242861">
        <w:rPr>
          <w:rFonts w:ascii="Verdana" w:hAnsi="Verdana" w:cs="Verdana"/>
          <w:color w:val="17365D" w:themeColor="text2" w:themeShade="BF"/>
        </w:rPr>
        <w:t xml:space="preserve"> all’Esame di Stato. Il punteggio del credito scolastico viene assegnato in base alla presenza delle seguenti condizioni:</w:t>
      </w:r>
    </w:p>
    <w:p w:rsidR="002F6658" w:rsidRPr="00242861" w:rsidRDefault="002F6658" w:rsidP="002F665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Verdana" w:hAnsi="Verdana" w:cs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</w:rPr>
        <w:t xml:space="preserve">della </w:t>
      </w:r>
      <w:r w:rsidRPr="00242861">
        <w:rPr>
          <w:rFonts w:ascii="Verdana" w:hAnsi="Verdana" w:cs="Verdana"/>
          <w:b/>
          <w:i/>
          <w:color w:val="17365D" w:themeColor="text2" w:themeShade="BF"/>
        </w:rPr>
        <w:t>media aritmetica dei voti scrutinati</w:t>
      </w:r>
      <w:r w:rsidRPr="00242861">
        <w:rPr>
          <w:rFonts w:ascii="Verdana" w:hAnsi="Verdana" w:cs="Verdana"/>
          <w:color w:val="17365D" w:themeColor="text2" w:themeShade="BF"/>
        </w:rPr>
        <w:t xml:space="preserve"> in tutte le materie con valutazione </w:t>
      </w:r>
      <w:proofErr w:type="spellStart"/>
      <w:r w:rsidRPr="00242861">
        <w:rPr>
          <w:rFonts w:ascii="Verdana" w:hAnsi="Verdana" w:cs="Verdana"/>
          <w:color w:val="17365D" w:themeColor="text2" w:themeShade="BF"/>
        </w:rPr>
        <w:t>numerica.L</w:t>
      </w:r>
      <w:proofErr w:type="spellEnd"/>
      <w:r w:rsidRPr="00242861">
        <w:rPr>
          <w:rFonts w:ascii="Verdana" w:hAnsi="Verdana" w:cs="Verdana"/>
          <w:color w:val="17365D" w:themeColor="text2" w:themeShade="BF"/>
        </w:rPr>
        <w:t>’indicatore viene attribuito se la media aritmetica “M” dei voti, nella parte decimale, è &gt; 0 = 0,50.</w:t>
      </w:r>
    </w:p>
    <w:p w:rsidR="002F6658" w:rsidRPr="00242861" w:rsidRDefault="002F6658" w:rsidP="002F6658">
      <w:pPr>
        <w:tabs>
          <w:tab w:val="left" w:pos="284"/>
        </w:tabs>
        <w:jc w:val="both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</w:rPr>
        <w:t>b.</w:t>
      </w:r>
      <w:r w:rsidRPr="00242861">
        <w:rPr>
          <w:rFonts w:ascii="Verdana" w:hAnsi="Verdana" w:cs="Verdana"/>
          <w:color w:val="17365D" w:themeColor="text2" w:themeShade="BF"/>
        </w:rPr>
        <w:tab/>
        <w:t xml:space="preserve">della </w:t>
      </w:r>
      <w:r w:rsidRPr="00242861">
        <w:rPr>
          <w:rFonts w:ascii="Verdana" w:hAnsi="Verdana" w:cs="Verdana"/>
          <w:b/>
          <w:color w:val="17365D" w:themeColor="text2" w:themeShade="BF"/>
        </w:rPr>
        <w:t xml:space="preserve">qualità della partecipazione al dialogo educativo; </w:t>
      </w:r>
      <w:r w:rsidRPr="00242861">
        <w:rPr>
          <w:rFonts w:ascii="Verdana" w:hAnsi="Verdana" w:cs="Verdana"/>
          <w:color w:val="17365D" w:themeColor="text2" w:themeShade="BF"/>
        </w:rPr>
        <w:t xml:space="preserve">alla presenza o meno di </w:t>
      </w:r>
      <w:r w:rsidRPr="00242861">
        <w:rPr>
          <w:rFonts w:ascii="Verdana" w:hAnsi="Verdana" w:cs="Verdana"/>
          <w:b/>
          <w:i/>
          <w:color w:val="17365D" w:themeColor="text2" w:themeShade="BF"/>
        </w:rPr>
        <w:t>variabili comportamentali</w:t>
      </w:r>
      <w:r w:rsidRPr="00242861">
        <w:rPr>
          <w:rFonts w:ascii="Verdana" w:hAnsi="Verdana" w:cs="Verdana"/>
          <w:color w:val="17365D" w:themeColor="text2" w:themeShade="BF"/>
        </w:rPr>
        <w:t xml:space="preserve"> (progressione e consolidamento degli apprendimenti curriculari e extracurriculari; assiduità della frequenza, partecipazione al dialogo educativo e alle attività della scuola, impegno e interesse) importanti per la loro valenza educativa. L’indicatore viene attribuito se il voto di condotta è 8 o 9 o 10. </w:t>
      </w:r>
    </w:p>
    <w:p w:rsidR="002F6658" w:rsidRPr="00242861" w:rsidRDefault="002F6658" w:rsidP="002F6658">
      <w:pPr>
        <w:tabs>
          <w:tab w:val="left" w:pos="284"/>
        </w:tabs>
        <w:jc w:val="both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</w:rPr>
        <w:t>c.</w:t>
      </w:r>
      <w:r w:rsidRPr="00242861">
        <w:rPr>
          <w:rFonts w:ascii="Verdana" w:hAnsi="Verdana" w:cs="Verdana"/>
          <w:color w:val="17365D" w:themeColor="text2" w:themeShade="BF"/>
        </w:rPr>
        <w:tab/>
        <w:t xml:space="preserve">degli eventuali </w:t>
      </w:r>
      <w:r w:rsidRPr="00242861">
        <w:rPr>
          <w:rFonts w:ascii="Verdana" w:hAnsi="Verdana" w:cs="Verdana"/>
          <w:b/>
          <w:i/>
          <w:color w:val="17365D" w:themeColor="text2" w:themeShade="BF"/>
        </w:rPr>
        <w:t xml:space="preserve">crediti formativi </w:t>
      </w:r>
      <w:r w:rsidRPr="00242861">
        <w:rPr>
          <w:rFonts w:ascii="Verdana" w:hAnsi="Verdana" w:cs="Verdana"/>
          <w:b/>
          <w:color w:val="17365D" w:themeColor="text2" w:themeShade="BF"/>
        </w:rPr>
        <w:t>“esterni”</w:t>
      </w:r>
      <w:r w:rsidRPr="00242861">
        <w:rPr>
          <w:rFonts w:ascii="Verdana" w:hAnsi="Verdana" w:cs="Verdana"/>
          <w:color w:val="17365D" w:themeColor="text2" w:themeShade="BF"/>
        </w:rPr>
        <w:t>, debitamente certificati da enti esterni. Verranno prese in considerazione non più di tre qualificate esperienze esterne.</w:t>
      </w:r>
    </w:p>
    <w:p w:rsidR="002F6658" w:rsidRPr="00242861" w:rsidRDefault="002F6658" w:rsidP="002F6658">
      <w:pPr>
        <w:tabs>
          <w:tab w:val="left" w:pos="284"/>
        </w:tabs>
        <w:rPr>
          <w:rFonts w:ascii="Verdana" w:hAnsi="Verdana" w:cs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</w:rPr>
        <w:t>d.</w:t>
      </w:r>
      <w:r w:rsidRPr="00242861">
        <w:rPr>
          <w:rFonts w:ascii="Verdana" w:hAnsi="Verdana" w:cs="Verdana"/>
          <w:color w:val="17365D" w:themeColor="text2" w:themeShade="BF"/>
        </w:rPr>
        <w:tab/>
        <w:t xml:space="preserve">della partecipazione all’IRC o alla materia alternativa ai sensi dell’art. 11, comma 2 del </w:t>
      </w:r>
      <w:proofErr w:type="spellStart"/>
      <w:r w:rsidRPr="00242861">
        <w:rPr>
          <w:rFonts w:ascii="Verdana" w:hAnsi="Verdana" w:cs="Verdana"/>
          <w:color w:val="17365D" w:themeColor="text2" w:themeShade="BF"/>
        </w:rPr>
        <w:t>D.P.R</w:t>
      </w:r>
      <w:proofErr w:type="spellEnd"/>
      <w:r w:rsidRPr="00242861">
        <w:rPr>
          <w:rFonts w:ascii="Verdana" w:hAnsi="Verdana" w:cs="Verdana"/>
          <w:color w:val="17365D" w:themeColor="text2" w:themeShade="BF"/>
        </w:rPr>
        <w:t xml:space="preserve"> </w:t>
      </w:r>
      <w:proofErr w:type="spellStart"/>
      <w:r w:rsidRPr="00242861">
        <w:rPr>
          <w:rFonts w:ascii="Verdana" w:hAnsi="Verdana" w:cs="Verdana"/>
          <w:color w:val="17365D" w:themeColor="text2" w:themeShade="BF"/>
        </w:rPr>
        <w:t>n°</w:t>
      </w:r>
      <w:proofErr w:type="spellEnd"/>
      <w:r w:rsidRPr="00242861">
        <w:rPr>
          <w:rFonts w:ascii="Verdana" w:hAnsi="Verdana" w:cs="Verdana"/>
          <w:color w:val="17365D" w:themeColor="text2" w:themeShade="BF"/>
        </w:rPr>
        <w:t xml:space="preserve"> 323 del 23/7/1998. </w:t>
      </w:r>
    </w:p>
    <w:p w:rsidR="002F6658" w:rsidRPr="00242861" w:rsidRDefault="002F6658" w:rsidP="002F6658">
      <w:pPr>
        <w:tabs>
          <w:tab w:val="left" w:pos="284"/>
        </w:tabs>
        <w:rPr>
          <w:rFonts w:ascii="Verdana" w:hAnsi="Verdana" w:cs="Verdana"/>
          <w:color w:val="17365D" w:themeColor="text2" w:themeShade="BF"/>
        </w:rPr>
      </w:pPr>
    </w:p>
    <w:p w:rsidR="002F6658" w:rsidRPr="00242861" w:rsidRDefault="002F6658" w:rsidP="002F6658">
      <w:pPr>
        <w:tabs>
          <w:tab w:val="left" w:pos="284"/>
        </w:tabs>
        <w:rPr>
          <w:rFonts w:ascii="Verdana" w:hAnsi="Verdana"/>
          <w:color w:val="17365D" w:themeColor="text2" w:themeShade="BF"/>
        </w:rPr>
      </w:pPr>
    </w:p>
    <w:p w:rsidR="002F6658" w:rsidRPr="00242861" w:rsidRDefault="002F6658" w:rsidP="002F6658">
      <w:pPr>
        <w:spacing w:before="280" w:after="100" w:line="240" w:lineRule="auto"/>
        <w:jc w:val="center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  <w:sz w:val="24"/>
          <w:szCs w:val="24"/>
        </w:rPr>
        <w:t>Decreto Ministeriale 16 dicembre 2009, n. 99</w:t>
      </w:r>
      <w:r w:rsidRPr="00242861">
        <w:rPr>
          <w:rFonts w:ascii="Verdana" w:hAnsi="Verdana" w:cs="Verdana"/>
          <w:color w:val="17365D" w:themeColor="text2" w:themeShade="BF"/>
          <w:sz w:val="24"/>
          <w:szCs w:val="24"/>
        </w:rPr>
        <w:br/>
        <w:t xml:space="preserve">TABELLA A </w:t>
      </w:r>
    </w:p>
    <w:p w:rsidR="002F6658" w:rsidRPr="00242861" w:rsidRDefault="002F6658" w:rsidP="002F6658">
      <w:pPr>
        <w:spacing w:before="280" w:after="100" w:line="240" w:lineRule="auto"/>
        <w:jc w:val="center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  <w:sz w:val="24"/>
          <w:szCs w:val="24"/>
        </w:rPr>
        <w:t xml:space="preserve">(sostituisce la tabella prevista dall'articolo 11, comma 2 del D.P.R. 23 luglio </w:t>
      </w:r>
    </w:p>
    <w:p w:rsidR="002F6658" w:rsidRPr="00242861" w:rsidRDefault="002F6658" w:rsidP="002F6658">
      <w:pPr>
        <w:spacing w:before="280" w:after="100" w:line="240" w:lineRule="auto"/>
        <w:jc w:val="center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  <w:sz w:val="24"/>
          <w:szCs w:val="24"/>
        </w:rPr>
        <w:t xml:space="preserve">1998, n. 323, così come modificata dal D.M. n. 42/2007) </w:t>
      </w:r>
    </w:p>
    <w:p w:rsidR="002F6658" w:rsidRPr="00242861" w:rsidRDefault="002F6658" w:rsidP="002F6658">
      <w:pPr>
        <w:spacing w:before="280" w:after="100" w:line="240" w:lineRule="auto"/>
        <w:jc w:val="center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b/>
          <w:color w:val="17365D" w:themeColor="text2" w:themeShade="BF"/>
          <w:sz w:val="24"/>
          <w:szCs w:val="24"/>
        </w:rPr>
        <w:t xml:space="preserve">CREDITO SCOLASTICO </w:t>
      </w:r>
    </w:p>
    <w:p w:rsidR="002F6658" w:rsidRPr="00242861" w:rsidRDefault="002F6658" w:rsidP="002F6658">
      <w:pPr>
        <w:spacing w:before="280" w:after="100" w:line="240" w:lineRule="auto"/>
        <w:jc w:val="center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  <w:sz w:val="24"/>
          <w:szCs w:val="24"/>
        </w:rPr>
        <w:t xml:space="preserve">Candidati interni </w:t>
      </w:r>
    </w:p>
    <w:tbl>
      <w:tblPr>
        <w:tblW w:w="10519" w:type="dxa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76"/>
        <w:gridCol w:w="2481"/>
        <w:gridCol w:w="2481"/>
        <w:gridCol w:w="2481"/>
      </w:tblGrid>
      <w:tr w:rsidR="002F6658" w:rsidRPr="00242861" w:rsidTr="005E5E48">
        <w:trPr>
          <w:jc w:val="center"/>
        </w:trPr>
        <w:tc>
          <w:tcPr>
            <w:tcW w:w="3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 Media dei voti </w:t>
            </w:r>
          </w:p>
        </w:tc>
        <w:tc>
          <w:tcPr>
            <w:tcW w:w="7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Credito scolastico (Punti) </w:t>
            </w:r>
          </w:p>
        </w:tc>
      </w:tr>
      <w:tr w:rsidR="002F6658" w:rsidRPr="00242861" w:rsidTr="005E5E48">
        <w:trPr>
          <w:jc w:val="center"/>
        </w:trPr>
        <w:tc>
          <w:tcPr>
            <w:tcW w:w="3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I anno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II anno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III anno </w:t>
            </w:r>
          </w:p>
        </w:tc>
      </w:tr>
      <w:tr w:rsidR="002F6658" w:rsidRPr="00242861" w:rsidTr="005E5E48">
        <w:trPr>
          <w:jc w:val="center"/>
        </w:trPr>
        <w:tc>
          <w:tcPr>
            <w:tcW w:w="3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M = 6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3 4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3 4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4 5 </w:t>
            </w:r>
          </w:p>
        </w:tc>
      </w:tr>
      <w:tr w:rsidR="002F6658" w:rsidRPr="00242861" w:rsidTr="005E5E48">
        <w:trPr>
          <w:jc w:val="center"/>
        </w:trPr>
        <w:tc>
          <w:tcPr>
            <w:tcW w:w="3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Nova Mono"/>
                <w:color w:val="17365D" w:themeColor="text2" w:themeShade="BF"/>
                <w:sz w:val="24"/>
                <w:szCs w:val="24"/>
              </w:rPr>
              <w:t xml:space="preserve">6 &lt; M ≤ 7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4 5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4 5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5 6 </w:t>
            </w:r>
          </w:p>
        </w:tc>
      </w:tr>
      <w:tr w:rsidR="002F6658" w:rsidRPr="00242861" w:rsidTr="005E5E48">
        <w:trPr>
          <w:jc w:val="center"/>
        </w:trPr>
        <w:tc>
          <w:tcPr>
            <w:tcW w:w="3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Nova Mono"/>
                <w:color w:val="17365D" w:themeColor="text2" w:themeShade="BF"/>
                <w:sz w:val="24"/>
                <w:szCs w:val="24"/>
              </w:rPr>
              <w:t xml:space="preserve">7 &lt; M ≤ 8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5 6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5 6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6 7 </w:t>
            </w:r>
          </w:p>
        </w:tc>
      </w:tr>
      <w:tr w:rsidR="002F6658" w:rsidRPr="00242861" w:rsidTr="005E5E48">
        <w:trPr>
          <w:jc w:val="center"/>
        </w:trPr>
        <w:tc>
          <w:tcPr>
            <w:tcW w:w="3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Nova Mono"/>
                <w:color w:val="17365D" w:themeColor="text2" w:themeShade="BF"/>
                <w:sz w:val="24"/>
                <w:szCs w:val="24"/>
              </w:rPr>
              <w:t xml:space="preserve">8 &lt; M ≤ 9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6 7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6 7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7 8 </w:t>
            </w:r>
          </w:p>
        </w:tc>
      </w:tr>
      <w:tr w:rsidR="002F6658" w:rsidRPr="00242861" w:rsidTr="005E5E48">
        <w:trPr>
          <w:jc w:val="center"/>
        </w:trPr>
        <w:tc>
          <w:tcPr>
            <w:tcW w:w="3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Nova Mono"/>
                <w:color w:val="17365D" w:themeColor="text2" w:themeShade="BF"/>
                <w:sz w:val="24"/>
                <w:szCs w:val="24"/>
              </w:rPr>
              <w:t xml:space="preserve">9 &lt; M ≤ 10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7 8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7 8 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6658" w:rsidRPr="00242861" w:rsidRDefault="002F6658" w:rsidP="005E5E48">
            <w:pPr>
              <w:spacing w:before="100" w:after="100" w:line="240" w:lineRule="auto"/>
              <w:jc w:val="center"/>
              <w:rPr>
                <w:rFonts w:ascii="Verdana" w:hAnsi="Verdana"/>
                <w:color w:val="17365D" w:themeColor="text2" w:themeShade="BF"/>
              </w:rPr>
            </w:pPr>
            <w:r w:rsidRPr="00242861">
              <w:rPr>
                <w:rFonts w:ascii="Verdana" w:hAnsi="Verdana" w:cs="Verdana"/>
                <w:color w:val="17365D" w:themeColor="text2" w:themeShade="BF"/>
                <w:sz w:val="24"/>
                <w:szCs w:val="24"/>
              </w:rPr>
              <w:t xml:space="preserve">8 9 </w:t>
            </w:r>
          </w:p>
        </w:tc>
      </w:tr>
    </w:tbl>
    <w:p w:rsidR="00242861" w:rsidRDefault="002F6658" w:rsidP="00242861">
      <w:pPr>
        <w:spacing w:line="240" w:lineRule="auto"/>
        <w:ind w:left="360" w:hanging="360"/>
        <w:rPr>
          <w:rFonts w:ascii="Verdana" w:hAnsi="Verdana" w:cs="Verdana"/>
          <w:color w:val="17365D" w:themeColor="text2" w:themeShade="BF"/>
          <w:sz w:val="24"/>
          <w:szCs w:val="24"/>
        </w:rPr>
      </w:pPr>
      <w:r w:rsidRPr="00242861">
        <w:rPr>
          <w:rFonts w:ascii="Verdana" w:hAnsi="Verdana" w:cs="Verdana"/>
          <w:color w:val="17365D" w:themeColor="text2" w:themeShade="BF"/>
          <w:sz w:val="24"/>
          <w:szCs w:val="24"/>
        </w:rPr>
        <w:t xml:space="preserve"> </w:t>
      </w:r>
    </w:p>
    <w:p w:rsidR="00242861" w:rsidRDefault="00242861" w:rsidP="00242861">
      <w:pPr>
        <w:spacing w:line="240" w:lineRule="auto"/>
        <w:ind w:left="360" w:hanging="360"/>
        <w:rPr>
          <w:rFonts w:ascii="Verdana" w:hAnsi="Verdana" w:cs="Verdana"/>
          <w:b/>
          <w:color w:val="17365D" w:themeColor="text2" w:themeShade="BF"/>
        </w:rPr>
      </w:pPr>
    </w:p>
    <w:p w:rsidR="00242861" w:rsidRDefault="00242861" w:rsidP="00242861">
      <w:pPr>
        <w:spacing w:line="240" w:lineRule="auto"/>
        <w:ind w:left="360" w:hanging="360"/>
        <w:rPr>
          <w:rFonts w:ascii="Verdana" w:hAnsi="Verdana" w:cs="Verdana"/>
          <w:b/>
          <w:color w:val="17365D" w:themeColor="text2" w:themeShade="BF"/>
        </w:rPr>
      </w:pPr>
    </w:p>
    <w:p w:rsidR="002F6658" w:rsidRPr="00242861" w:rsidRDefault="002F6658" w:rsidP="00242861">
      <w:pPr>
        <w:spacing w:line="240" w:lineRule="auto"/>
        <w:ind w:left="360" w:hanging="360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b/>
          <w:color w:val="17365D" w:themeColor="text2" w:themeShade="BF"/>
        </w:rPr>
        <w:lastRenderedPageBreak/>
        <w:t>Il punteggio massimo della fascia del credito scolastico viene assegnato in base alla presenza di almeno una delle condizioni sopra elencate.</w:t>
      </w:r>
    </w:p>
    <w:p w:rsidR="002F6658" w:rsidRPr="00242861" w:rsidRDefault="002F6658" w:rsidP="002F6658">
      <w:pPr>
        <w:jc w:val="both"/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b/>
          <w:color w:val="17365D" w:themeColor="text2" w:themeShade="BF"/>
        </w:rPr>
        <w:t>Anche nello scrutinio di settembre il credito può essere assegnato alla fascia maggiore</w:t>
      </w:r>
    </w:p>
    <w:p w:rsidR="002F6658" w:rsidRDefault="002F6658" w:rsidP="002F6658">
      <w:pPr>
        <w:tabs>
          <w:tab w:val="left" w:pos="284"/>
        </w:tabs>
        <w:rPr>
          <w:rFonts w:ascii="Verdana" w:hAnsi="Verdana" w:cs="Verdana"/>
        </w:rPr>
      </w:pPr>
    </w:p>
    <w:p w:rsidR="0012631D" w:rsidRDefault="002F6658">
      <w:pPr>
        <w:rPr>
          <w:b/>
        </w:rPr>
      </w:pPr>
      <w:r w:rsidRPr="002F6658">
        <w:rPr>
          <w:b/>
        </w:rPr>
        <w:t>L’attribuzione del credito avviene sulla base della tabella A (allegata al Decreto 62/17), che riporta la corrispondenza tra la media dei voti conseguiti dagli studenti negli scrutini finali per ciascun anno di corso e la fascia di attribuzione del credito scolastico.</w:t>
      </w:r>
    </w:p>
    <w:p w:rsidR="00242861" w:rsidRDefault="00242861">
      <w:pPr>
        <w:rPr>
          <w:b/>
        </w:rPr>
      </w:pPr>
    </w:p>
    <w:p w:rsidR="00242861" w:rsidRDefault="00242861">
      <w:pPr>
        <w:rPr>
          <w:b/>
        </w:rPr>
      </w:pPr>
      <w:r>
        <w:rPr>
          <w:b/>
          <w:noProof/>
        </w:rPr>
        <w:drawing>
          <wp:inline distT="0" distB="0" distL="0" distR="0">
            <wp:extent cx="6867106" cy="7949608"/>
            <wp:effectExtent l="19050" t="0" r="0" b="0"/>
            <wp:docPr id="1" name="Immagine 0" descr="ALLEGATO A - DECRETO VALUTAZIONE_Pag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GATO A - DECRETO VALUTAZIONE_Page_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8160" cy="79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658" w:rsidRDefault="002F6658">
      <w:pPr>
        <w:rPr>
          <w:b/>
        </w:rPr>
      </w:pPr>
    </w:p>
    <w:p w:rsidR="002F6658" w:rsidRDefault="002F6658">
      <w:pPr>
        <w:rPr>
          <w:b/>
        </w:rPr>
      </w:pPr>
    </w:p>
    <w:p w:rsidR="00242861" w:rsidRPr="00242861" w:rsidRDefault="00242861" w:rsidP="00242861">
      <w:pPr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b/>
          <w:i/>
          <w:color w:val="17365D" w:themeColor="text2" w:themeShade="BF"/>
        </w:rPr>
        <w:t>Criteri di attribuzione della lode</w:t>
      </w:r>
    </w:p>
    <w:p w:rsidR="00242861" w:rsidRPr="00242861" w:rsidRDefault="00242861" w:rsidP="00242861">
      <w:pPr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</w:rPr>
        <w:t>L'attribuzione della lode è</w:t>
      </w:r>
      <w:r w:rsidRPr="00242861">
        <w:rPr>
          <w:rFonts w:ascii="Verdana" w:hAnsi="Verdana" w:cs="Verdana"/>
          <w:b/>
          <w:color w:val="17365D" w:themeColor="text2" w:themeShade="BF"/>
        </w:rPr>
        <w:t xml:space="preserve"> regolamentata dagli artt. 2 e 3 del D.M. 99/2009</w:t>
      </w:r>
      <w:r w:rsidRPr="00242861">
        <w:rPr>
          <w:rFonts w:ascii="Verdana" w:hAnsi="Verdana" w:cs="Verdana"/>
          <w:color w:val="17365D" w:themeColor="text2" w:themeShade="BF"/>
        </w:rPr>
        <w:t xml:space="preserve">. </w:t>
      </w:r>
      <w:r w:rsidRPr="00242861">
        <w:rPr>
          <w:rFonts w:ascii="Verdana" w:hAnsi="Verdana" w:cs="Verdana"/>
          <w:color w:val="17365D" w:themeColor="text2" w:themeShade="BF"/>
        </w:rPr>
        <w:br/>
      </w:r>
      <w:r w:rsidRPr="00242861">
        <w:rPr>
          <w:rFonts w:ascii="Verdana" w:hAnsi="Verdana" w:cs="Verdana"/>
          <w:b/>
          <w:color w:val="17365D" w:themeColor="text2" w:themeShade="BF"/>
        </w:rPr>
        <w:t>In questi articoli emerge chiaramente il fatto che la lode verrà attribuita al candidato che raggiungerà il 100/100 senza alcun bonus e che abbia riportato negli scrutini finali relativi alle classi terzultima, penultima e ultima solo voti uguali o superiori a otto decimi, ivi compresa la valutazione del comportamento</w:t>
      </w:r>
      <w:r w:rsidRPr="00242861">
        <w:rPr>
          <w:rFonts w:ascii="Verdana" w:hAnsi="Verdana" w:cs="Verdana"/>
          <w:color w:val="17365D" w:themeColor="text2" w:themeShade="BF"/>
        </w:rPr>
        <w:t>(a regime dall’anno scolastico 2011 2012).</w:t>
      </w:r>
    </w:p>
    <w:p w:rsidR="00242861" w:rsidRPr="00242861" w:rsidRDefault="00242861" w:rsidP="00242861">
      <w:pPr>
        <w:rPr>
          <w:rFonts w:ascii="Verdana" w:hAnsi="Verdana"/>
          <w:color w:val="17365D" w:themeColor="text2" w:themeShade="BF"/>
        </w:rPr>
      </w:pPr>
      <w:r w:rsidRPr="00242861">
        <w:rPr>
          <w:rFonts w:ascii="Verdana" w:hAnsi="Verdana" w:cs="Verdana"/>
          <w:b/>
          <w:color w:val="17365D" w:themeColor="text2" w:themeShade="BF"/>
        </w:rPr>
        <w:t xml:space="preserve"> </w:t>
      </w:r>
      <w:r w:rsidRPr="00242861">
        <w:rPr>
          <w:rFonts w:ascii="Verdana" w:hAnsi="Verdana" w:cs="Verdana"/>
          <w:color w:val="17365D" w:themeColor="text2" w:themeShade="BF"/>
        </w:rPr>
        <w:t>L'art. 4 dello stesso decreto definisce le norme transitorie che farà entrare a regime l'applicazione della lode nel 2011/2012.</w:t>
      </w:r>
      <w:r w:rsidRPr="00242861">
        <w:rPr>
          <w:rFonts w:ascii="Verdana" w:hAnsi="Verdana" w:cs="Verdana"/>
          <w:b/>
          <w:color w:val="17365D" w:themeColor="text2" w:themeShade="BF"/>
        </w:rPr>
        <w:t xml:space="preserve"> </w:t>
      </w:r>
    </w:p>
    <w:p w:rsidR="00242861" w:rsidRPr="00242861" w:rsidRDefault="00242861" w:rsidP="00242861">
      <w:pPr>
        <w:tabs>
          <w:tab w:val="left" w:pos="284"/>
        </w:tabs>
        <w:rPr>
          <w:rFonts w:ascii="Verdana" w:hAnsi="Verdana" w:cs="Verdana"/>
          <w:color w:val="17365D" w:themeColor="text2" w:themeShade="BF"/>
        </w:rPr>
      </w:pPr>
      <w:r w:rsidRPr="00242861">
        <w:rPr>
          <w:rFonts w:ascii="Verdana" w:hAnsi="Verdana" w:cs="Verdana"/>
          <w:color w:val="17365D" w:themeColor="text2" w:themeShade="BF"/>
        </w:rPr>
        <w:t>Nell’anno scolastico in corso si dovrà guardare se il candidato avrà riportato voti uguali o superiori a otto decimi, ivi compresa la valutazione del comportamento, negli ultimi tre anni.</w:t>
      </w:r>
    </w:p>
    <w:p w:rsidR="002F6658" w:rsidRPr="002F6658" w:rsidRDefault="002F6658">
      <w:pPr>
        <w:rPr>
          <w:b/>
        </w:rPr>
      </w:pPr>
    </w:p>
    <w:sectPr w:rsidR="002F6658" w:rsidRPr="002F6658" w:rsidSect="00242861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va Mon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44A"/>
    <w:multiLevelType w:val="multilevel"/>
    <w:tmpl w:val="88A81AF8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Letter"/>
      <w:lvlText w:val="%3."/>
      <w:lvlJc w:val="left"/>
      <w:pPr>
        <w:ind w:left="2160" w:firstLine="1800"/>
      </w:pPr>
      <w:rPr>
        <w:rFonts w:cs="Times New Roman"/>
        <w:vertAlign w:val="baseli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Letter"/>
      <w:lvlText w:val="%6."/>
      <w:lvlJc w:val="left"/>
      <w:pPr>
        <w:ind w:left="4320" w:firstLine="3960"/>
      </w:pPr>
      <w:rPr>
        <w:rFonts w:cs="Times New Roman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Letter"/>
      <w:lvlText w:val="%9."/>
      <w:lvlJc w:val="left"/>
      <w:pPr>
        <w:ind w:left="6480" w:firstLine="6120"/>
      </w:pPr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F6658"/>
    <w:rsid w:val="0012631D"/>
    <w:rsid w:val="00242861"/>
    <w:rsid w:val="002F6658"/>
    <w:rsid w:val="00D40758"/>
    <w:rsid w:val="00DB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theme="minorBidi"/>
        <w:color w:val="333333"/>
        <w:sz w:val="21"/>
        <w:szCs w:val="2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658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861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1</cp:revision>
  <dcterms:created xsi:type="dcterms:W3CDTF">2018-12-07T09:08:00Z</dcterms:created>
  <dcterms:modified xsi:type="dcterms:W3CDTF">2018-12-07T09:26:00Z</dcterms:modified>
</cp:coreProperties>
</file>